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B6B" w:rsidRDefault="00A74B6B" w:rsidP="00942BEF">
      <w:pPr>
        <w:ind w:right="346"/>
        <w:jc w:val="both"/>
        <w:outlineLvl w:val="0"/>
        <w:rPr>
          <w:rFonts w:cs="Times New Roman"/>
          <w:b/>
          <w:lang w:val="en-GB"/>
        </w:rPr>
      </w:pPr>
      <w:r>
        <w:rPr>
          <w:rFonts w:cs="Times New Roman"/>
          <w:b/>
          <w:lang w:val="en-GB"/>
        </w:rPr>
        <w:t xml:space="preserve">Resource Economics and environmental Impact assessment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5"/>
        <w:gridCol w:w="7371"/>
      </w:tblGrid>
      <w:tr w:rsidR="00A74B6B" w:rsidRPr="009C0D3F" w:rsidTr="00FF4987">
        <w:tc>
          <w:tcPr>
            <w:tcW w:w="2268" w:type="dxa"/>
          </w:tcPr>
          <w:p w:rsidR="00A74B6B" w:rsidRPr="009C0D3F" w:rsidRDefault="00A74B6B" w:rsidP="00FF4987">
            <w:pPr>
              <w:ind w:right="346"/>
              <w:jc w:val="both"/>
              <w:rPr>
                <w:rFonts w:cs="Times New Roman"/>
                <w:b/>
                <w:bCs/>
                <w:lang w:val="en-GB"/>
              </w:rPr>
            </w:pPr>
            <w:r w:rsidRPr="009C0D3F">
              <w:rPr>
                <w:rFonts w:cs="Times New Roman"/>
                <w:b/>
                <w:bCs/>
                <w:lang w:val="en-GB"/>
              </w:rPr>
              <w:t>Course Title</w:t>
            </w:r>
          </w:p>
        </w:tc>
        <w:tc>
          <w:tcPr>
            <w:tcW w:w="8010" w:type="dxa"/>
          </w:tcPr>
          <w:p w:rsidR="00A74B6B" w:rsidRPr="001D4AF6" w:rsidRDefault="00A74B6B" w:rsidP="00FF4987">
            <w:pPr>
              <w:ind w:right="346"/>
              <w:jc w:val="both"/>
              <w:rPr>
                <w:rFonts w:cs="Times New Roman"/>
                <w:b/>
                <w:lang w:val="en-GB"/>
              </w:rPr>
            </w:pPr>
            <w:r>
              <w:rPr>
                <w:rFonts w:cs="Times New Roman"/>
                <w:b/>
                <w:lang w:val="en-GB"/>
              </w:rPr>
              <w:t xml:space="preserve">Resource Economics and Environmental Impact assessment </w:t>
            </w:r>
          </w:p>
        </w:tc>
      </w:tr>
      <w:tr w:rsidR="00A74B6B" w:rsidRPr="009C0D3F" w:rsidTr="00FF4987">
        <w:tc>
          <w:tcPr>
            <w:tcW w:w="2268" w:type="dxa"/>
          </w:tcPr>
          <w:p w:rsidR="00A74B6B" w:rsidRPr="009C0D3F" w:rsidRDefault="00A74B6B" w:rsidP="00FF4987">
            <w:pPr>
              <w:ind w:right="346"/>
              <w:jc w:val="both"/>
              <w:rPr>
                <w:rFonts w:cs="Times New Roman"/>
                <w:b/>
                <w:bCs/>
                <w:lang w:val="en-GB"/>
              </w:rPr>
            </w:pPr>
            <w:r w:rsidRPr="009C0D3F">
              <w:rPr>
                <w:rFonts w:cs="Times New Roman"/>
                <w:b/>
                <w:bCs/>
                <w:lang w:val="en-GB"/>
              </w:rPr>
              <w:t>Course Code</w:t>
            </w:r>
          </w:p>
        </w:tc>
        <w:tc>
          <w:tcPr>
            <w:tcW w:w="8010" w:type="dxa"/>
          </w:tcPr>
          <w:p w:rsidR="00A74B6B" w:rsidRPr="009C0D3F" w:rsidRDefault="00A74B6B" w:rsidP="00FF4987">
            <w:pPr>
              <w:spacing w:line="360" w:lineRule="auto"/>
              <w:ind w:right="346"/>
              <w:jc w:val="both"/>
              <w:rPr>
                <w:rFonts w:cs="Times New Roman"/>
                <w:lang w:val="en-GB"/>
              </w:rPr>
            </w:pPr>
            <w:r>
              <w:rPr>
                <w:rFonts w:cs="Times New Roman"/>
                <w:lang w:val="en-GB"/>
              </w:rPr>
              <w:t>PPM 522</w:t>
            </w:r>
          </w:p>
        </w:tc>
      </w:tr>
      <w:tr w:rsidR="00A74B6B" w:rsidRPr="009C0D3F" w:rsidTr="00FF4987">
        <w:tc>
          <w:tcPr>
            <w:tcW w:w="2268" w:type="dxa"/>
          </w:tcPr>
          <w:p w:rsidR="00A74B6B" w:rsidRPr="009C0D3F" w:rsidRDefault="00A74B6B" w:rsidP="00FF4987">
            <w:pPr>
              <w:ind w:right="346"/>
              <w:jc w:val="both"/>
              <w:rPr>
                <w:rFonts w:cs="Times New Roman"/>
                <w:b/>
                <w:bCs/>
                <w:lang w:val="en-GB"/>
              </w:rPr>
            </w:pPr>
            <w:r w:rsidRPr="009C0D3F">
              <w:rPr>
                <w:rFonts w:cs="Times New Roman"/>
                <w:b/>
                <w:bCs/>
                <w:lang w:val="en-GB"/>
              </w:rPr>
              <w:t>Credit Hours</w:t>
            </w:r>
          </w:p>
        </w:tc>
        <w:tc>
          <w:tcPr>
            <w:tcW w:w="8010" w:type="dxa"/>
          </w:tcPr>
          <w:p w:rsidR="00A74B6B" w:rsidRPr="009C0D3F" w:rsidRDefault="00A74B6B" w:rsidP="00FF4987">
            <w:pPr>
              <w:spacing w:line="360" w:lineRule="auto"/>
              <w:ind w:right="346"/>
              <w:jc w:val="both"/>
              <w:rPr>
                <w:rFonts w:cs="Times New Roman"/>
                <w:lang w:val="en-GB"/>
              </w:rPr>
            </w:pPr>
            <w:r w:rsidRPr="009C0D3F">
              <w:rPr>
                <w:rFonts w:cs="Times New Roman"/>
                <w:lang w:val="en-GB"/>
              </w:rPr>
              <w:t>3</w:t>
            </w:r>
          </w:p>
        </w:tc>
      </w:tr>
      <w:tr w:rsidR="00A74B6B" w:rsidRPr="009C0D3F" w:rsidTr="00FF4987">
        <w:tc>
          <w:tcPr>
            <w:tcW w:w="2268" w:type="dxa"/>
          </w:tcPr>
          <w:p w:rsidR="00A74B6B" w:rsidRPr="009C0D3F" w:rsidRDefault="00A74B6B" w:rsidP="00FF4987">
            <w:pPr>
              <w:ind w:right="346"/>
              <w:jc w:val="both"/>
              <w:rPr>
                <w:rFonts w:cs="Times New Roman"/>
                <w:b/>
                <w:bCs/>
                <w:lang w:val="en-GB"/>
              </w:rPr>
            </w:pPr>
            <w:r w:rsidRPr="009C0D3F">
              <w:rPr>
                <w:rFonts w:cs="Times New Roman"/>
                <w:b/>
                <w:bCs/>
                <w:lang w:val="en-GB"/>
              </w:rPr>
              <w:t xml:space="preserve">Classification </w:t>
            </w:r>
          </w:p>
        </w:tc>
        <w:tc>
          <w:tcPr>
            <w:tcW w:w="8010" w:type="dxa"/>
          </w:tcPr>
          <w:p w:rsidR="00A74B6B" w:rsidRPr="009C0D3F" w:rsidRDefault="00A74B6B" w:rsidP="00FF4987">
            <w:pPr>
              <w:spacing w:line="360" w:lineRule="auto"/>
              <w:ind w:right="346"/>
              <w:jc w:val="both"/>
              <w:rPr>
                <w:rFonts w:cs="Times New Roman"/>
                <w:lang w:val="en-GB"/>
              </w:rPr>
            </w:pPr>
            <w:r w:rsidRPr="009C0D3F">
              <w:rPr>
                <w:rFonts w:cs="Times New Roman"/>
                <w:lang w:val="en-GB"/>
              </w:rPr>
              <w:t>Core</w:t>
            </w:r>
          </w:p>
        </w:tc>
      </w:tr>
      <w:tr w:rsidR="00A74B6B" w:rsidRPr="009C0D3F" w:rsidTr="00FF4987">
        <w:tc>
          <w:tcPr>
            <w:tcW w:w="2268" w:type="dxa"/>
          </w:tcPr>
          <w:p w:rsidR="00A74B6B" w:rsidRPr="009C0D3F" w:rsidRDefault="00A74B6B" w:rsidP="00FF4987">
            <w:pPr>
              <w:ind w:right="346"/>
              <w:jc w:val="both"/>
              <w:rPr>
                <w:rFonts w:cs="Times New Roman"/>
                <w:b/>
                <w:bCs/>
                <w:lang w:val="en-GB"/>
              </w:rPr>
            </w:pPr>
            <w:r w:rsidRPr="009C0D3F">
              <w:rPr>
                <w:rFonts w:cs="Times New Roman"/>
                <w:b/>
                <w:bCs/>
                <w:lang w:val="en-GB"/>
              </w:rPr>
              <w:t>Semester</w:t>
            </w:r>
          </w:p>
        </w:tc>
        <w:tc>
          <w:tcPr>
            <w:tcW w:w="8010" w:type="dxa"/>
          </w:tcPr>
          <w:p w:rsidR="00A74B6B" w:rsidRPr="009C0D3F" w:rsidRDefault="00A74B6B" w:rsidP="00FF4987">
            <w:pPr>
              <w:spacing w:line="360" w:lineRule="auto"/>
              <w:ind w:right="346"/>
              <w:jc w:val="both"/>
              <w:rPr>
                <w:rFonts w:cs="Times New Roman"/>
                <w:lang w:val="en-GB"/>
              </w:rPr>
            </w:pPr>
            <w:r>
              <w:rPr>
                <w:rFonts w:cs="Times New Roman"/>
                <w:lang w:val="en-GB"/>
              </w:rPr>
              <w:t>Year 1, Semester II</w:t>
            </w:r>
          </w:p>
        </w:tc>
      </w:tr>
      <w:tr w:rsidR="00A74B6B" w:rsidRPr="009C0D3F" w:rsidTr="00FF4987">
        <w:tc>
          <w:tcPr>
            <w:tcW w:w="2268" w:type="dxa"/>
          </w:tcPr>
          <w:p w:rsidR="00A74B6B" w:rsidRPr="009C0D3F" w:rsidRDefault="00A74B6B" w:rsidP="00FF4987">
            <w:pPr>
              <w:ind w:right="346"/>
              <w:jc w:val="both"/>
              <w:rPr>
                <w:rFonts w:cs="Times New Roman"/>
                <w:b/>
                <w:bCs/>
                <w:lang w:val="en-GB"/>
              </w:rPr>
            </w:pPr>
            <w:r w:rsidRPr="009C0D3F">
              <w:rPr>
                <w:rFonts w:cs="Times New Roman"/>
                <w:b/>
                <w:bCs/>
                <w:lang w:val="en-GB"/>
              </w:rPr>
              <w:t>Description</w:t>
            </w:r>
          </w:p>
        </w:tc>
        <w:tc>
          <w:tcPr>
            <w:tcW w:w="8010" w:type="dxa"/>
          </w:tcPr>
          <w:p w:rsidR="00A74B6B" w:rsidRPr="001D4AF6" w:rsidRDefault="00A74B6B" w:rsidP="00FF4987">
            <w:pPr>
              <w:autoSpaceDE w:val="0"/>
              <w:autoSpaceDN w:val="0"/>
              <w:adjustRightInd w:val="0"/>
              <w:spacing w:line="360" w:lineRule="auto"/>
              <w:ind w:right="346"/>
              <w:jc w:val="both"/>
              <w:rPr>
                <w:rFonts w:eastAsia="Calibri" w:cs="Times New Roman"/>
                <w:color w:val="000000"/>
                <w:highlight w:val="yellow"/>
              </w:rPr>
            </w:pPr>
            <w:r w:rsidRPr="00BA0F5A">
              <w:t>Th</w:t>
            </w:r>
            <w:r>
              <w:t>e subject addresses concepts of resource economics, p</w:t>
            </w:r>
            <w:r>
              <w:rPr>
                <w:rStyle w:val="fontstyle01"/>
              </w:rPr>
              <w:t xml:space="preserve">rinciples of Environmental Management., Principles of Ecology, Policies and Legal aspect of Environmental Management, Overview of Environmental Impact Assessment (EIA). Preparation and Review of Environmental Impact Assessment Report, Environmental Audit, Environmental Management Systems Standards: Related Issues in Environmental Management, Environmental Design and Environmental Economics. </w:t>
            </w:r>
            <w:r w:rsidRPr="00DE4FD2">
              <w:t>It will just try to notify students about Economic analysis of environmental problems focusing on air, water, and land pollution. Emphasis could be on analyzing individual incentives that lead to pollution, the valuation of environmental quality amenities, and the design and evaluation of regulations that seek to improve environmental quality. Natural resource economics is all about economic analysis of natural resources use and conservation and includes analysis of the use of fuel, forest, marine, and biodiversity resources. It focuses on evaluating natural resource use in terms of efficiency and sustainability, and designing regulations for correcting inefficiency and unsustainable resource market.</w:t>
            </w:r>
          </w:p>
        </w:tc>
      </w:tr>
      <w:tr w:rsidR="00A74B6B" w:rsidRPr="009C0D3F" w:rsidTr="00FF4987">
        <w:tc>
          <w:tcPr>
            <w:tcW w:w="2268" w:type="dxa"/>
          </w:tcPr>
          <w:p w:rsidR="00A74B6B" w:rsidRPr="009C0D3F" w:rsidRDefault="00A74B6B" w:rsidP="00FF4987">
            <w:pPr>
              <w:ind w:right="346"/>
              <w:jc w:val="both"/>
              <w:rPr>
                <w:rFonts w:cs="Times New Roman"/>
                <w:b/>
                <w:bCs/>
                <w:lang w:val="en-GB"/>
              </w:rPr>
            </w:pPr>
            <w:r w:rsidRPr="009C0D3F">
              <w:rPr>
                <w:rFonts w:cs="Times New Roman"/>
                <w:b/>
                <w:bCs/>
                <w:lang w:val="en-GB"/>
              </w:rPr>
              <w:t>Objective</w:t>
            </w:r>
          </w:p>
          <w:p w:rsidR="00A74B6B" w:rsidRPr="009C0D3F" w:rsidRDefault="00A74B6B" w:rsidP="00FF4987">
            <w:pPr>
              <w:ind w:firstLine="720"/>
              <w:rPr>
                <w:rFonts w:cs="Times New Roman"/>
                <w:lang w:val="en-GB"/>
              </w:rPr>
            </w:pPr>
          </w:p>
        </w:tc>
        <w:tc>
          <w:tcPr>
            <w:tcW w:w="8010" w:type="dxa"/>
          </w:tcPr>
          <w:p w:rsidR="00A74B6B" w:rsidRDefault="00A74B6B" w:rsidP="00FF4987">
            <w:pPr>
              <w:pStyle w:val="NormalWeb"/>
              <w:spacing w:after="0" w:afterAutospacing="0"/>
            </w:pPr>
            <w:r w:rsidRPr="008A4494">
              <w:t>The course is intended to help students accomplish the following learning objectives:</w:t>
            </w:r>
          </w:p>
          <w:p w:rsidR="00A74B6B" w:rsidRDefault="00A74B6B" w:rsidP="00A74B6B">
            <w:pPr>
              <w:pStyle w:val="NormalWeb"/>
              <w:numPr>
                <w:ilvl w:val="0"/>
                <w:numId w:val="1"/>
              </w:numPr>
              <w:spacing w:before="0" w:beforeAutospacing="0" w:after="0" w:afterAutospacing="0"/>
            </w:pPr>
            <w:r>
              <w:t>It</w:t>
            </w:r>
            <w:r w:rsidRPr="00115F6A">
              <w:t xml:space="preserve"> provide</w:t>
            </w:r>
            <w:r>
              <w:t>s students with</w:t>
            </w:r>
            <w:r w:rsidRPr="00115F6A">
              <w:t xml:space="preserve"> skills and understanding</w:t>
            </w:r>
            <w:r>
              <w:t xml:space="preserve"> of</w:t>
            </w:r>
            <w:r w:rsidRPr="00115F6A">
              <w:t xml:space="preserve"> necessary</w:t>
            </w:r>
            <w:r>
              <w:t xml:space="preserve"> issues</w:t>
            </w:r>
            <w:r w:rsidRPr="00115F6A">
              <w:t xml:space="preserve"> to identify</w:t>
            </w:r>
            <w:r>
              <w:t>, evaluate and respond</w:t>
            </w:r>
            <w:r w:rsidRPr="00115F6A">
              <w:t xml:space="preserve"> the environmental and sustainability implications of</w:t>
            </w:r>
            <w:r>
              <w:t xml:space="preserve"> project implementation and</w:t>
            </w:r>
            <w:r w:rsidRPr="00115F6A">
              <w:t xml:space="preserve"> construction process. </w:t>
            </w:r>
          </w:p>
          <w:p w:rsidR="00A74B6B" w:rsidRDefault="00A74B6B" w:rsidP="00A74B6B">
            <w:pPr>
              <w:pStyle w:val="NormalWeb"/>
              <w:numPr>
                <w:ilvl w:val="0"/>
                <w:numId w:val="1"/>
              </w:numPr>
            </w:pPr>
            <w:r>
              <w:t xml:space="preserve">To learn and know more about natural resources like land, </w:t>
            </w:r>
            <w:r w:rsidRPr="00DE4FD2">
              <w:t>forest</w:t>
            </w:r>
            <w:r>
              <w:t xml:space="preserve">, </w:t>
            </w:r>
            <w:r w:rsidRPr="00DE4FD2">
              <w:t>fuel, marine, and biodiversity</w:t>
            </w:r>
          </w:p>
          <w:p w:rsidR="00A74B6B" w:rsidRPr="00E3488C" w:rsidRDefault="00A74B6B" w:rsidP="00A74B6B">
            <w:pPr>
              <w:pStyle w:val="NormalWeb"/>
              <w:numPr>
                <w:ilvl w:val="0"/>
                <w:numId w:val="1"/>
              </w:numPr>
            </w:pPr>
            <w:r>
              <w:t xml:space="preserve">The course will enable students to understand about efficient and sustainable </w:t>
            </w:r>
            <w:r w:rsidRPr="00E3488C">
              <w:t>utilization of natural resources.</w:t>
            </w:r>
          </w:p>
          <w:p w:rsidR="00A74B6B" w:rsidRPr="00E3488C" w:rsidRDefault="00A74B6B" w:rsidP="00A74B6B">
            <w:pPr>
              <w:pStyle w:val="NormalWeb"/>
              <w:numPr>
                <w:ilvl w:val="0"/>
                <w:numId w:val="1"/>
              </w:numPr>
            </w:pPr>
            <w:r w:rsidRPr="00E3488C">
              <w:t xml:space="preserve">Students are introduced to systematic analysis </w:t>
            </w:r>
            <w:r>
              <w:t xml:space="preserve">of </w:t>
            </w:r>
            <w:r w:rsidRPr="00E3488C">
              <w:t>procedures of environmental impacts of project implementation.</w:t>
            </w:r>
          </w:p>
          <w:p w:rsidR="00A74B6B" w:rsidRDefault="00A74B6B" w:rsidP="00A74B6B">
            <w:pPr>
              <w:pStyle w:val="NormalWeb"/>
              <w:numPr>
                <w:ilvl w:val="0"/>
                <w:numId w:val="1"/>
              </w:numPr>
            </w:pPr>
            <w:r w:rsidRPr="00E3488C">
              <w:lastRenderedPageBreak/>
              <w:t xml:space="preserve">Examine the operational concept of </w:t>
            </w:r>
            <w:r>
              <w:t xml:space="preserve">the </w:t>
            </w:r>
            <w:r w:rsidRPr="00E3488C">
              <w:t>principal components of economic efficiency, environmental integrity and social equity.</w:t>
            </w:r>
          </w:p>
          <w:p w:rsidR="00A74B6B" w:rsidRPr="00D1103B" w:rsidRDefault="00A74B6B" w:rsidP="00A74B6B">
            <w:pPr>
              <w:pStyle w:val="NormalWeb"/>
              <w:numPr>
                <w:ilvl w:val="0"/>
                <w:numId w:val="1"/>
              </w:numPr>
            </w:pPr>
            <w:r w:rsidRPr="00E3488C">
              <w:t>Expose students to inter</w:t>
            </w:r>
            <w:r w:rsidRPr="00E3488C">
              <w:noBreakHyphen/>
            </w:r>
            <w:proofErr w:type="spellStart"/>
            <w:r w:rsidRPr="00E3488C">
              <w:t>disciplinary</w:t>
            </w:r>
            <w:proofErr w:type="spellEnd"/>
            <w:r w:rsidRPr="00E3488C">
              <w:t xml:space="preserve"> approaches to problem identification, analysis and project design.</w:t>
            </w:r>
          </w:p>
        </w:tc>
      </w:tr>
      <w:tr w:rsidR="00A74B6B" w:rsidRPr="009C0D3F" w:rsidTr="00FF4987">
        <w:tc>
          <w:tcPr>
            <w:tcW w:w="2268" w:type="dxa"/>
          </w:tcPr>
          <w:p w:rsidR="00A74B6B" w:rsidRPr="009C0D3F" w:rsidRDefault="00A74B6B" w:rsidP="00FF4987">
            <w:pPr>
              <w:ind w:right="346"/>
              <w:jc w:val="both"/>
              <w:rPr>
                <w:rFonts w:cs="Times New Roman"/>
                <w:b/>
                <w:bCs/>
                <w:lang w:val="en-GB"/>
              </w:rPr>
            </w:pPr>
            <w:r w:rsidRPr="009C0D3F">
              <w:rPr>
                <w:rFonts w:cs="Times New Roman"/>
                <w:b/>
                <w:lang w:val="en-GB"/>
              </w:rPr>
              <w:lastRenderedPageBreak/>
              <w:t>Course Content</w:t>
            </w:r>
          </w:p>
        </w:tc>
        <w:tc>
          <w:tcPr>
            <w:tcW w:w="8010" w:type="dxa"/>
          </w:tcPr>
          <w:p w:rsidR="00A74B6B" w:rsidRPr="00E823E1" w:rsidRDefault="00A74B6B" w:rsidP="00FF4987">
            <w:pPr>
              <w:spacing w:before="100" w:beforeAutospacing="1" w:after="100" w:afterAutospacing="1"/>
              <w:ind w:left="720"/>
              <w:jc w:val="center"/>
              <w:rPr>
                <w:rFonts w:cs="Times New Roman"/>
                <w:b/>
                <w:sz w:val="28"/>
                <w:szCs w:val="28"/>
              </w:rPr>
            </w:pPr>
            <w:r>
              <w:rPr>
                <w:rFonts w:cs="Times New Roman"/>
                <w:b/>
                <w:bCs/>
                <w:color w:val="000000"/>
              </w:rPr>
              <w:t xml:space="preserve">      </w:t>
            </w:r>
            <w:r w:rsidRPr="00E823E1">
              <w:rPr>
                <w:rFonts w:cs="Times New Roman"/>
                <w:b/>
                <w:sz w:val="28"/>
                <w:szCs w:val="28"/>
              </w:rPr>
              <w:t>Chapter 1</w:t>
            </w:r>
          </w:p>
          <w:p w:rsidR="00A74B6B" w:rsidRPr="00E823E1" w:rsidRDefault="00A74B6B" w:rsidP="00FF4987">
            <w:pPr>
              <w:widowControl w:val="0"/>
              <w:spacing w:after="120"/>
              <w:jc w:val="center"/>
              <w:rPr>
                <w:rFonts w:cs="Times New Roman"/>
                <w:b/>
                <w:sz w:val="28"/>
                <w:szCs w:val="28"/>
              </w:rPr>
            </w:pPr>
            <w:r w:rsidRPr="00E823E1">
              <w:rPr>
                <w:rFonts w:cs="Times New Roman"/>
                <w:b/>
                <w:sz w:val="28"/>
                <w:szCs w:val="28"/>
              </w:rPr>
              <w:t>1. Resource economics</w:t>
            </w:r>
          </w:p>
          <w:p w:rsidR="00A74B6B" w:rsidRPr="00E823E1" w:rsidRDefault="00A74B6B" w:rsidP="00FF4987">
            <w:r w:rsidRPr="00E823E1">
              <w:t xml:space="preserve">1.1. Introduction to natural resource economics </w:t>
            </w:r>
          </w:p>
          <w:p w:rsidR="00A74B6B" w:rsidRPr="00E823E1" w:rsidRDefault="00A74B6B" w:rsidP="00FF4987">
            <w:pPr>
              <w:widowControl w:val="0"/>
              <w:spacing w:after="120"/>
              <w:rPr>
                <w:rFonts w:cs="Times New Roman"/>
              </w:rPr>
            </w:pPr>
            <w:r w:rsidRPr="00E823E1">
              <w:rPr>
                <w:rFonts w:cs="Times New Roman"/>
              </w:rPr>
              <w:t xml:space="preserve">1.2. Resource assessment and land evaluation theory </w:t>
            </w:r>
          </w:p>
          <w:p w:rsidR="00A74B6B" w:rsidRPr="00E823E1" w:rsidRDefault="00A74B6B" w:rsidP="00FF4987">
            <w:pPr>
              <w:widowControl w:val="0"/>
              <w:spacing w:after="120"/>
              <w:rPr>
                <w:rFonts w:cs="Times New Roman"/>
              </w:rPr>
            </w:pPr>
            <w:r w:rsidRPr="00E823E1">
              <w:rPr>
                <w:rFonts w:cs="Times New Roman"/>
              </w:rPr>
              <w:t>1.3. Resource production potential assessment and crop production  modeling</w:t>
            </w:r>
          </w:p>
          <w:p w:rsidR="00A74B6B" w:rsidRPr="00E823E1" w:rsidRDefault="00A74B6B" w:rsidP="00FF4987">
            <w:pPr>
              <w:widowControl w:val="0"/>
              <w:spacing w:after="120"/>
              <w:rPr>
                <w:rFonts w:cs="Times New Roman"/>
              </w:rPr>
            </w:pPr>
            <w:r w:rsidRPr="00E823E1">
              <w:rPr>
                <w:rFonts w:cs="Times New Roman"/>
              </w:rPr>
              <w:t>1.4. Resource inventory techniques</w:t>
            </w:r>
          </w:p>
          <w:p w:rsidR="00A74B6B" w:rsidRPr="00E823E1" w:rsidRDefault="00A74B6B" w:rsidP="00FF4987">
            <w:pPr>
              <w:widowControl w:val="0"/>
              <w:spacing w:after="120"/>
              <w:rPr>
                <w:rFonts w:cs="Times New Roman"/>
              </w:rPr>
            </w:pPr>
            <w:r w:rsidRPr="00E823E1">
              <w:rPr>
                <w:rFonts w:cs="Times New Roman"/>
              </w:rPr>
              <w:t xml:space="preserve">1.5. Remote sensing for resource inventories and integrated surveys, </w:t>
            </w:r>
          </w:p>
          <w:p w:rsidR="00A74B6B" w:rsidRPr="00E823E1" w:rsidRDefault="00A74B6B" w:rsidP="00FF4987">
            <w:pPr>
              <w:widowControl w:val="0"/>
              <w:spacing w:after="120"/>
              <w:rPr>
                <w:rFonts w:cs="Times New Roman"/>
                <w:szCs w:val="20"/>
              </w:rPr>
            </w:pPr>
            <w:r w:rsidRPr="00E823E1">
              <w:rPr>
                <w:rFonts w:cs="Times New Roman"/>
              </w:rPr>
              <w:t>1.6. Property rights, tenure regimes and agrarian reform</w:t>
            </w:r>
            <w:r w:rsidRPr="00E823E1">
              <w:rPr>
                <w:rFonts w:cs="Times New Roman"/>
                <w:szCs w:val="20"/>
              </w:rPr>
              <w:t>.</w:t>
            </w:r>
          </w:p>
          <w:p w:rsidR="00A74B6B" w:rsidRPr="00E823E1" w:rsidRDefault="00A74B6B" w:rsidP="00FF4987">
            <w:pPr>
              <w:widowControl w:val="0"/>
              <w:spacing w:after="120"/>
              <w:rPr>
                <w:rFonts w:cs="Times New Roman"/>
              </w:rPr>
            </w:pPr>
            <w:r w:rsidRPr="00E823E1">
              <w:rPr>
                <w:rFonts w:cs="Times New Roman"/>
                <w:szCs w:val="20"/>
              </w:rPr>
              <w:t>1.7. Economic benefits of water resources, land use, outdoor recreation, air quality, and other natural resources and environmental areas.</w:t>
            </w:r>
          </w:p>
          <w:p w:rsidR="00A74B6B" w:rsidRPr="00E823E1" w:rsidRDefault="00A74B6B" w:rsidP="00FF4987">
            <w:pPr>
              <w:spacing w:before="100" w:beforeAutospacing="1" w:after="100" w:afterAutospacing="1"/>
              <w:ind w:left="720"/>
              <w:jc w:val="center"/>
              <w:rPr>
                <w:rFonts w:cs="Times New Roman"/>
                <w:b/>
                <w:sz w:val="28"/>
                <w:szCs w:val="28"/>
              </w:rPr>
            </w:pPr>
            <w:r w:rsidRPr="00E823E1">
              <w:rPr>
                <w:rFonts w:cs="Times New Roman"/>
                <w:b/>
                <w:sz w:val="28"/>
                <w:szCs w:val="28"/>
              </w:rPr>
              <w:t>Chapter 2</w:t>
            </w:r>
          </w:p>
          <w:p w:rsidR="00A74B6B" w:rsidRPr="00E823E1" w:rsidRDefault="00A74B6B" w:rsidP="00FF4987">
            <w:pPr>
              <w:spacing w:before="100" w:beforeAutospacing="1" w:after="100" w:afterAutospacing="1"/>
              <w:ind w:left="720"/>
              <w:rPr>
                <w:rFonts w:cs="Times New Roman"/>
                <w:b/>
                <w:sz w:val="28"/>
                <w:szCs w:val="28"/>
              </w:rPr>
            </w:pPr>
            <w:r w:rsidRPr="00E823E1">
              <w:rPr>
                <w:b/>
                <w:sz w:val="28"/>
                <w:szCs w:val="28"/>
              </w:rPr>
              <w:t>2. Environmental Impact assessment</w:t>
            </w:r>
          </w:p>
          <w:p w:rsidR="00A74B6B" w:rsidRPr="00E823E1" w:rsidRDefault="00A74B6B" w:rsidP="00FF4987">
            <w:pPr>
              <w:spacing w:line="276" w:lineRule="auto"/>
              <w:ind w:left="-108"/>
              <w:rPr>
                <w:rFonts w:cs="Times New Roman"/>
              </w:rPr>
            </w:pPr>
            <w:r w:rsidRPr="00E823E1">
              <w:t>2</w:t>
            </w:r>
            <w:r w:rsidRPr="00E823E1">
              <w:rPr>
                <w:rFonts w:cs="Times New Roman"/>
              </w:rPr>
              <w:t>.1.The meaning of the term ‘environment’</w:t>
            </w:r>
          </w:p>
          <w:p w:rsidR="00A74B6B" w:rsidRPr="00E823E1" w:rsidRDefault="00A74B6B" w:rsidP="00A74B6B">
            <w:pPr>
              <w:numPr>
                <w:ilvl w:val="1"/>
                <w:numId w:val="2"/>
              </w:numPr>
              <w:tabs>
                <w:tab w:val="left" w:pos="432"/>
              </w:tabs>
              <w:spacing w:after="100" w:afterAutospacing="1"/>
              <w:ind w:left="252"/>
              <w:rPr>
                <w:rFonts w:cs="Times New Roman"/>
              </w:rPr>
            </w:pPr>
            <w:r w:rsidRPr="00E823E1">
              <w:rPr>
                <w:rFonts w:cs="Times New Roman"/>
              </w:rPr>
              <w:t>The history and legal context of Environmental Impact Assessments</w:t>
            </w:r>
          </w:p>
          <w:p w:rsidR="00A74B6B" w:rsidRPr="00E823E1" w:rsidRDefault="00A74B6B" w:rsidP="00A74B6B">
            <w:pPr>
              <w:numPr>
                <w:ilvl w:val="1"/>
                <w:numId w:val="2"/>
              </w:numPr>
              <w:tabs>
                <w:tab w:val="left" w:pos="432"/>
              </w:tabs>
              <w:ind w:left="252"/>
              <w:rPr>
                <w:rFonts w:cs="Times New Roman"/>
              </w:rPr>
            </w:pPr>
            <w:r w:rsidRPr="00E823E1">
              <w:rPr>
                <w:rFonts w:cs="Times New Roman"/>
              </w:rPr>
              <w:t xml:space="preserve">When EIA is required </w:t>
            </w:r>
          </w:p>
          <w:p w:rsidR="00A74B6B" w:rsidRPr="00E823E1" w:rsidRDefault="00A74B6B" w:rsidP="00A74B6B">
            <w:pPr>
              <w:widowControl w:val="0"/>
              <w:numPr>
                <w:ilvl w:val="1"/>
                <w:numId w:val="2"/>
              </w:numPr>
              <w:tabs>
                <w:tab w:val="left" w:pos="432"/>
              </w:tabs>
              <w:spacing w:line="276" w:lineRule="auto"/>
              <w:ind w:left="252"/>
              <w:rPr>
                <w:rFonts w:cs="Times New Roman"/>
              </w:rPr>
            </w:pPr>
            <w:r w:rsidRPr="00E823E1">
              <w:rPr>
                <w:rFonts w:cs="Times New Roman"/>
              </w:rPr>
              <w:t xml:space="preserve"> Socioeconomic aspects of feasibility analysis and economic valuation</w:t>
            </w:r>
          </w:p>
          <w:p w:rsidR="00A74B6B" w:rsidRPr="00E823E1" w:rsidRDefault="00A74B6B" w:rsidP="00A74B6B">
            <w:pPr>
              <w:numPr>
                <w:ilvl w:val="1"/>
                <w:numId w:val="2"/>
              </w:numPr>
              <w:tabs>
                <w:tab w:val="left" w:pos="342"/>
              </w:tabs>
              <w:ind w:left="252"/>
            </w:pPr>
            <w:r w:rsidRPr="00E823E1">
              <w:t xml:space="preserve"> How to systematically identify potential impacts of a given project </w:t>
            </w:r>
          </w:p>
          <w:p w:rsidR="00A74B6B" w:rsidRPr="00E823E1" w:rsidRDefault="00A74B6B" w:rsidP="00A74B6B">
            <w:pPr>
              <w:numPr>
                <w:ilvl w:val="1"/>
                <w:numId w:val="2"/>
              </w:numPr>
              <w:tabs>
                <w:tab w:val="left" w:pos="432"/>
              </w:tabs>
              <w:spacing w:line="276" w:lineRule="auto"/>
              <w:ind w:left="252"/>
              <w:rPr>
                <w:rFonts w:cs="Times New Roman"/>
              </w:rPr>
            </w:pPr>
            <w:r w:rsidRPr="00E823E1">
              <w:rPr>
                <w:rFonts w:cs="Times New Roman"/>
              </w:rPr>
              <w:t>The utilitarian and intrinsic value of the environment</w:t>
            </w:r>
          </w:p>
          <w:p w:rsidR="00A74B6B" w:rsidRPr="00E823E1" w:rsidRDefault="00A74B6B" w:rsidP="00A74B6B">
            <w:pPr>
              <w:numPr>
                <w:ilvl w:val="1"/>
                <w:numId w:val="2"/>
              </w:numPr>
              <w:tabs>
                <w:tab w:val="left" w:pos="432"/>
              </w:tabs>
              <w:spacing w:line="276" w:lineRule="auto"/>
              <w:ind w:left="252"/>
              <w:rPr>
                <w:rFonts w:cs="Times New Roman"/>
              </w:rPr>
            </w:pPr>
            <w:r w:rsidRPr="00E823E1">
              <w:rPr>
                <w:rFonts w:cs="Times New Roman"/>
              </w:rPr>
              <w:t>The basics of the theory of environmental regulations</w:t>
            </w:r>
          </w:p>
          <w:p w:rsidR="00A74B6B" w:rsidRPr="00E823E1" w:rsidRDefault="00A74B6B" w:rsidP="00A74B6B">
            <w:pPr>
              <w:numPr>
                <w:ilvl w:val="1"/>
                <w:numId w:val="2"/>
              </w:numPr>
              <w:tabs>
                <w:tab w:val="left" w:pos="432"/>
              </w:tabs>
              <w:spacing w:line="276" w:lineRule="auto"/>
              <w:ind w:left="252"/>
              <w:rPr>
                <w:rFonts w:cs="Times New Roman"/>
              </w:rPr>
            </w:pPr>
            <w:r w:rsidRPr="00E823E1">
              <w:rPr>
                <w:rFonts w:cs="Times New Roman"/>
              </w:rPr>
              <w:t>Dynamic regulations, regulation under asymmetric information</w:t>
            </w:r>
          </w:p>
          <w:p w:rsidR="00A74B6B" w:rsidRPr="00E823E1" w:rsidRDefault="00A74B6B" w:rsidP="00A74B6B">
            <w:pPr>
              <w:numPr>
                <w:ilvl w:val="1"/>
                <w:numId w:val="2"/>
              </w:numPr>
              <w:tabs>
                <w:tab w:val="left" w:pos="432"/>
              </w:tabs>
              <w:spacing w:line="276" w:lineRule="auto"/>
              <w:ind w:left="252"/>
              <w:rPr>
                <w:rFonts w:cs="Times New Roman"/>
              </w:rPr>
            </w:pPr>
            <w:r w:rsidRPr="00E823E1">
              <w:rPr>
                <w:rFonts w:cs="Times New Roman"/>
              </w:rPr>
              <w:t>The second best environmental regulation</w:t>
            </w:r>
          </w:p>
          <w:p w:rsidR="00A74B6B" w:rsidRPr="00E823E1" w:rsidRDefault="00A74B6B" w:rsidP="00A74B6B">
            <w:pPr>
              <w:numPr>
                <w:ilvl w:val="1"/>
                <w:numId w:val="2"/>
              </w:numPr>
              <w:tabs>
                <w:tab w:val="left" w:pos="432"/>
              </w:tabs>
              <w:spacing w:line="276" w:lineRule="auto"/>
              <w:ind w:left="252"/>
              <w:rPr>
                <w:rFonts w:cs="Times New Roman"/>
              </w:rPr>
            </w:pPr>
            <w:r w:rsidRPr="00E823E1">
              <w:rPr>
                <w:rFonts w:cs="Times New Roman"/>
              </w:rPr>
              <w:t xml:space="preserve">Voluntary and information based approaches to environmental managements </w:t>
            </w:r>
          </w:p>
          <w:p w:rsidR="00A74B6B" w:rsidRDefault="00A74B6B" w:rsidP="00A74B6B">
            <w:pPr>
              <w:numPr>
                <w:ilvl w:val="1"/>
                <w:numId w:val="2"/>
              </w:numPr>
              <w:tabs>
                <w:tab w:val="left" w:pos="432"/>
              </w:tabs>
              <w:spacing w:line="276" w:lineRule="auto"/>
              <w:ind w:left="252"/>
              <w:rPr>
                <w:rFonts w:cs="Times New Roman"/>
              </w:rPr>
            </w:pPr>
            <w:r w:rsidRPr="00E823E1">
              <w:rPr>
                <w:rFonts w:cs="Times New Roman"/>
              </w:rPr>
              <w:t>Emerging approaches to energy conservation</w:t>
            </w:r>
          </w:p>
          <w:p w:rsidR="00A74B6B" w:rsidRPr="00E823E1" w:rsidRDefault="00A74B6B" w:rsidP="00FF4987">
            <w:pPr>
              <w:tabs>
                <w:tab w:val="left" w:pos="432"/>
              </w:tabs>
              <w:spacing w:line="276" w:lineRule="auto"/>
              <w:ind w:left="252"/>
              <w:rPr>
                <w:rFonts w:cs="Times New Roman"/>
              </w:rPr>
            </w:pPr>
          </w:p>
          <w:p w:rsidR="00A74B6B" w:rsidRPr="00E823E1" w:rsidRDefault="00A74B6B" w:rsidP="00FF4987">
            <w:pPr>
              <w:ind w:left="720"/>
              <w:jc w:val="center"/>
              <w:rPr>
                <w:rFonts w:cs="Times New Roman"/>
                <w:b/>
                <w:sz w:val="28"/>
                <w:szCs w:val="28"/>
              </w:rPr>
            </w:pPr>
            <w:r w:rsidRPr="00E823E1">
              <w:rPr>
                <w:rFonts w:cs="Times New Roman"/>
                <w:b/>
                <w:sz w:val="28"/>
                <w:szCs w:val="28"/>
              </w:rPr>
              <w:t>Chapter 3</w:t>
            </w:r>
          </w:p>
          <w:p w:rsidR="00A74B6B" w:rsidRPr="00E823E1" w:rsidRDefault="00A74B6B" w:rsidP="00A74B6B">
            <w:pPr>
              <w:numPr>
                <w:ilvl w:val="0"/>
                <w:numId w:val="2"/>
              </w:numPr>
              <w:spacing w:before="100" w:beforeAutospacing="1" w:after="100" w:afterAutospacing="1"/>
              <w:rPr>
                <w:rFonts w:cs="Times New Roman"/>
                <w:b/>
              </w:rPr>
            </w:pPr>
            <w:r w:rsidRPr="00E823E1">
              <w:rPr>
                <w:rFonts w:cs="Times New Roman"/>
                <w:b/>
              </w:rPr>
              <w:t xml:space="preserve">Environmental systems and effects of projects implementations </w:t>
            </w:r>
          </w:p>
          <w:p w:rsidR="00A74B6B" w:rsidRPr="00E823E1" w:rsidRDefault="00A74B6B" w:rsidP="00A74B6B">
            <w:pPr>
              <w:numPr>
                <w:ilvl w:val="1"/>
                <w:numId w:val="2"/>
              </w:numPr>
              <w:tabs>
                <w:tab w:val="left" w:pos="972"/>
              </w:tabs>
              <w:spacing w:before="100" w:beforeAutospacing="1" w:after="100" w:afterAutospacing="1"/>
              <w:rPr>
                <w:rFonts w:cs="Times New Roman"/>
              </w:rPr>
            </w:pPr>
            <w:r w:rsidRPr="00E823E1">
              <w:rPr>
                <w:rFonts w:cs="Times New Roman"/>
              </w:rPr>
              <w:t>The different spheres of the environment (both natural and human),</w:t>
            </w:r>
          </w:p>
          <w:p w:rsidR="00A74B6B" w:rsidRPr="00E823E1" w:rsidRDefault="00A74B6B" w:rsidP="00A74B6B">
            <w:pPr>
              <w:numPr>
                <w:ilvl w:val="1"/>
                <w:numId w:val="2"/>
              </w:numPr>
              <w:tabs>
                <w:tab w:val="left" w:pos="972"/>
              </w:tabs>
              <w:spacing w:before="100" w:beforeAutospacing="1" w:after="100" w:afterAutospacing="1"/>
              <w:rPr>
                <w:rFonts w:cs="Times New Roman"/>
              </w:rPr>
            </w:pPr>
            <w:r w:rsidRPr="00E823E1">
              <w:rPr>
                <w:rFonts w:cs="Times New Roman"/>
              </w:rPr>
              <w:t xml:space="preserve">The effect of projects on the environment and ecosystem services. </w:t>
            </w:r>
          </w:p>
          <w:p w:rsidR="00A74B6B" w:rsidRPr="00E823E1" w:rsidRDefault="00A74B6B" w:rsidP="00A74B6B">
            <w:pPr>
              <w:numPr>
                <w:ilvl w:val="1"/>
                <w:numId w:val="2"/>
              </w:numPr>
              <w:tabs>
                <w:tab w:val="left" w:pos="972"/>
              </w:tabs>
              <w:spacing w:before="100" w:beforeAutospacing="1" w:after="100" w:afterAutospacing="1"/>
              <w:rPr>
                <w:rFonts w:cs="Times New Roman"/>
              </w:rPr>
            </w:pPr>
            <w:r w:rsidRPr="00E823E1">
              <w:rPr>
                <w:rFonts w:cs="Times New Roman"/>
              </w:rPr>
              <w:t>How do projects affect the environment?</w:t>
            </w:r>
          </w:p>
          <w:p w:rsidR="00A74B6B" w:rsidRPr="00E823E1" w:rsidRDefault="00A74B6B" w:rsidP="00A74B6B">
            <w:pPr>
              <w:numPr>
                <w:ilvl w:val="1"/>
                <w:numId w:val="2"/>
              </w:numPr>
              <w:tabs>
                <w:tab w:val="left" w:pos="972"/>
              </w:tabs>
              <w:spacing w:before="100" w:beforeAutospacing="1" w:after="100" w:afterAutospacing="1"/>
              <w:rPr>
                <w:rFonts w:cs="Times New Roman"/>
              </w:rPr>
            </w:pPr>
            <w:r w:rsidRPr="00E823E1">
              <w:rPr>
                <w:rFonts w:cs="Times New Roman"/>
              </w:rPr>
              <w:t>Implication of projects on the human environment: The concept of environmental justice and the implications of infrastructure.</w:t>
            </w:r>
          </w:p>
          <w:p w:rsidR="00A74B6B" w:rsidRPr="00E823E1" w:rsidRDefault="00A74B6B" w:rsidP="00FF4987">
            <w:pPr>
              <w:spacing w:before="100" w:beforeAutospacing="1" w:after="100" w:afterAutospacing="1"/>
              <w:ind w:left="720"/>
              <w:jc w:val="center"/>
              <w:rPr>
                <w:rFonts w:cs="Times New Roman"/>
                <w:b/>
                <w:sz w:val="28"/>
                <w:szCs w:val="28"/>
              </w:rPr>
            </w:pPr>
            <w:r w:rsidRPr="00E823E1">
              <w:rPr>
                <w:rFonts w:cs="Times New Roman"/>
                <w:b/>
                <w:sz w:val="28"/>
                <w:szCs w:val="28"/>
              </w:rPr>
              <w:t>Chapter 4</w:t>
            </w:r>
          </w:p>
          <w:p w:rsidR="00A74B6B" w:rsidRPr="00E823E1" w:rsidRDefault="00A74B6B" w:rsidP="00A74B6B">
            <w:pPr>
              <w:numPr>
                <w:ilvl w:val="0"/>
                <w:numId w:val="2"/>
              </w:numPr>
              <w:spacing w:before="100" w:beforeAutospacing="1" w:after="100" w:afterAutospacing="1"/>
              <w:jc w:val="center"/>
              <w:rPr>
                <w:rFonts w:cs="Times New Roman"/>
                <w:b/>
                <w:sz w:val="28"/>
                <w:szCs w:val="28"/>
              </w:rPr>
            </w:pPr>
            <w:r w:rsidRPr="00E823E1">
              <w:rPr>
                <w:rFonts w:cs="Times New Roman"/>
                <w:b/>
                <w:sz w:val="28"/>
                <w:szCs w:val="28"/>
              </w:rPr>
              <w:t>Mitigation methods to reduce environmental impacts</w:t>
            </w:r>
          </w:p>
          <w:p w:rsidR="00A74B6B" w:rsidRPr="00E823E1" w:rsidRDefault="00A74B6B" w:rsidP="00A74B6B">
            <w:pPr>
              <w:numPr>
                <w:ilvl w:val="1"/>
                <w:numId w:val="2"/>
              </w:numPr>
              <w:tabs>
                <w:tab w:val="left" w:pos="612"/>
                <w:tab w:val="left" w:pos="882"/>
              </w:tabs>
              <w:spacing w:before="100" w:beforeAutospacing="1" w:after="100" w:afterAutospacing="1"/>
              <w:ind w:left="252"/>
              <w:rPr>
                <w:rFonts w:cs="Times New Roman"/>
              </w:rPr>
            </w:pPr>
            <w:r w:rsidRPr="00E823E1">
              <w:rPr>
                <w:rFonts w:cs="Times New Roman"/>
              </w:rPr>
              <w:t>The consideration of alternatives as a means of mitigation.</w:t>
            </w:r>
          </w:p>
          <w:p w:rsidR="00A74B6B" w:rsidRPr="00E823E1" w:rsidRDefault="00A74B6B" w:rsidP="00A74B6B">
            <w:pPr>
              <w:numPr>
                <w:ilvl w:val="1"/>
                <w:numId w:val="2"/>
              </w:numPr>
              <w:tabs>
                <w:tab w:val="left" w:pos="612"/>
                <w:tab w:val="left" w:pos="882"/>
              </w:tabs>
              <w:spacing w:before="100" w:beforeAutospacing="1" w:after="100" w:afterAutospacing="1"/>
              <w:ind w:left="252"/>
              <w:rPr>
                <w:rFonts w:cs="Times New Roman"/>
              </w:rPr>
            </w:pPr>
            <w:r w:rsidRPr="00E823E1">
              <w:rPr>
                <w:rFonts w:cs="Times New Roman"/>
              </w:rPr>
              <w:t>Mitigation through design, construction methods and management.</w:t>
            </w:r>
          </w:p>
          <w:p w:rsidR="00A74B6B" w:rsidRPr="00E823E1" w:rsidRDefault="00A74B6B" w:rsidP="00A74B6B">
            <w:pPr>
              <w:numPr>
                <w:ilvl w:val="1"/>
                <w:numId w:val="2"/>
              </w:numPr>
              <w:tabs>
                <w:tab w:val="left" w:pos="612"/>
                <w:tab w:val="left" w:pos="882"/>
              </w:tabs>
              <w:spacing w:before="100" w:beforeAutospacing="1" w:after="100" w:afterAutospacing="1"/>
              <w:ind w:left="252"/>
              <w:rPr>
                <w:rFonts w:cs="Times New Roman"/>
              </w:rPr>
            </w:pPr>
            <w:r w:rsidRPr="00E823E1">
              <w:rPr>
                <w:rFonts w:cs="Times New Roman"/>
              </w:rPr>
              <w:t>How green projects can be used to enhance the environment.</w:t>
            </w:r>
          </w:p>
          <w:p w:rsidR="00A74B6B" w:rsidRPr="00E823E1" w:rsidRDefault="00A74B6B" w:rsidP="00A74B6B">
            <w:pPr>
              <w:numPr>
                <w:ilvl w:val="1"/>
                <w:numId w:val="2"/>
              </w:numPr>
              <w:tabs>
                <w:tab w:val="left" w:pos="612"/>
                <w:tab w:val="left" w:pos="882"/>
              </w:tabs>
              <w:spacing w:before="100" w:beforeAutospacing="1" w:after="100" w:afterAutospacing="1"/>
              <w:ind w:left="252"/>
              <w:rPr>
                <w:rFonts w:cs="Times New Roman"/>
              </w:rPr>
            </w:pPr>
            <w:r w:rsidRPr="00E823E1">
              <w:rPr>
                <w:rFonts w:cs="Times New Roman"/>
              </w:rPr>
              <w:t>Conducting procedurally just public consultations</w:t>
            </w:r>
          </w:p>
          <w:p w:rsidR="00A74B6B" w:rsidRPr="00E823E1" w:rsidRDefault="00A74B6B" w:rsidP="00FF4987">
            <w:pPr>
              <w:spacing w:before="100" w:beforeAutospacing="1" w:after="100" w:afterAutospacing="1"/>
              <w:ind w:left="720"/>
              <w:jc w:val="center"/>
              <w:rPr>
                <w:rFonts w:cs="Times New Roman"/>
                <w:b/>
                <w:sz w:val="28"/>
                <w:szCs w:val="28"/>
              </w:rPr>
            </w:pPr>
            <w:r w:rsidRPr="00E823E1">
              <w:rPr>
                <w:rFonts w:cs="Times New Roman"/>
                <w:b/>
                <w:sz w:val="28"/>
                <w:szCs w:val="28"/>
              </w:rPr>
              <w:t>Chapter 5</w:t>
            </w:r>
          </w:p>
          <w:p w:rsidR="00A74B6B" w:rsidRPr="00E823E1" w:rsidRDefault="00A74B6B" w:rsidP="00A74B6B">
            <w:pPr>
              <w:numPr>
                <w:ilvl w:val="0"/>
                <w:numId w:val="2"/>
              </w:numPr>
              <w:spacing w:before="100" w:beforeAutospacing="1" w:after="100" w:afterAutospacing="1"/>
              <w:jc w:val="center"/>
              <w:rPr>
                <w:rFonts w:cs="Times New Roman"/>
                <w:b/>
                <w:sz w:val="28"/>
                <w:szCs w:val="28"/>
              </w:rPr>
            </w:pPr>
            <w:r w:rsidRPr="00E823E1">
              <w:rPr>
                <w:rFonts w:cs="Times New Roman"/>
                <w:b/>
                <w:sz w:val="28"/>
                <w:szCs w:val="28"/>
              </w:rPr>
              <w:t>Strategic Environmental Assessment</w:t>
            </w:r>
          </w:p>
          <w:p w:rsidR="00A74B6B" w:rsidRPr="00E823E1" w:rsidRDefault="00A74B6B" w:rsidP="00A74B6B">
            <w:pPr>
              <w:numPr>
                <w:ilvl w:val="1"/>
                <w:numId w:val="2"/>
              </w:numPr>
              <w:tabs>
                <w:tab w:val="left" w:pos="522"/>
              </w:tabs>
              <w:spacing w:before="100" w:beforeAutospacing="1" w:after="100" w:afterAutospacing="1"/>
              <w:ind w:left="252"/>
              <w:rPr>
                <w:rFonts w:cs="Times New Roman"/>
              </w:rPr>
            </w:pPr>
            <w:r w:rsidRPr="00E823E1">
              <w:rPr>
                <w:rFonts w:cs="Times New Roman"/>
              </w:rPr>
              <w:t xml:space="preserve">Environmental Assessment in Developing Countries </w:t>
            </w:r>
          </w:p>
          <w:p w:rsidR="00A74B6B" w:rsidRPr="00E823E1" w:rsidRDefault="00A74B6B" w:rsidP="00A74B6B">
            <w:pPr>
              <w:numPr>
                <w:ilvl w:val="1"/>
                <w:numId w:val="2"/>
              </w:numPr>
              <w:tabs>
                <w:tab w:val="left" w:pos="522"/>
              </w:tabs>
              <w:spacing w:before="100" w:beforeAutospacing="1"/>
              <w:ind w:left="252"/>
              <w:rPr>
                <w:rFonts w:cs="Times New Roman"/>
              </w:rPr>
            </w:pPr>
            <w:r w:rsidRPr="00E823E1">
              <w:rPr>
                <w:rFonts w:cs="Times New Roman"/>
              </w:rPr>
              <w:t>The challenges specific to developing countries in conducting an environmental impact assessment.</w:t>
            </w:r>
          </w:p>
          <w:p w:rsidR="00A74B6B" w:rsidRPr="00E823E1" w:rsidRDefault="00A74B6B" w:rsidP="00A74B6B">
            <w:pPr>
              <w:numPr>
                <w:ilvl w:val="1"/>
                <w:numId w:val="2"/>
              </w:numPr>
              <w:tabs>
                <w:tab w:val="left" w:pos="432"/>
              </w:tabs>
              <w:spacing w:before="100" w:beforeAutospacing="1" w:after="100" w:afterAutospacing="1"/>
              <w:ind w:left="252" w:hanging="342"/>
              <w:rPr>
                <w:rFonts w:cs="Times New Roman"/>
              </w:rPr>
            </w:pPr>
            <w:r w:rsidRPr="00E823E1">
              <w:rPr>
                <w:rFonts w:cs="Times New Roman"/>
              </w:rPr>
              <w:t xml:space="preserve">Environmental impact assessment in developing and developed countries. </w:t>
            </w:r>
          </w:p>
          <w:p w:rsidR="00A74B6B" w:rsidRPr="00E823E1" w:rsidRDefault="00A74B6B" w:rsidP="00A74B6B">
            <w:pPr>
              <w:numPr>
                <w:ilvl w:val="1"/>
                <w:numId w:val="2"/>
              </w:numPr>
              <w:tabs>
                <w:tab w:val="left" w:pos="432"/>
              </w:tabs>
              <w:spacing w:before="100" w:beforeAutospacing="1" w:after="100" w:afterAutospacing="1"/>
              <w:ind w:left="252"/>
              <w:rPr>
                <w:rFonts w:cs="Times New Roman"/>
              </w:rPr>
            </w:pPr>
            <w:r w:rsidRPr="00E823E1">
              <w:rPr>
                <w:rFonts w:cs="Times New Roman"/>
              </w:rPr>
              <w:t xml:space="preserve">The design of environmental and natural resource policies, particularly incentive-based policies </w:t>
            </w:r>
          </w:p>
          <w:p w:rsidR="00A74B6B" w:rsidRPr="00E823E1" w:rsidRDefault="00A74B6B" w:rsidP="00A74B6B">
            <w:pPr>
              <w:numPr>
                <w:ilvl w:val="1"/>
                <w:numId w:val="2"/>
              </w:numPr>
              <w:tabs>
                <w:tab w:val="left" w:pos="432"/>
              </w:tabs>
              <w:spacing w:before="100" w:beforeAutospacing="1" w:after="100" w:afterAutospacing="1"/>
              <w:ind w:left="252"/>
              <w:rPr>
                <w:rFonts w:cs="Times New Roman"/>
              </w:rPr>
            </w:pPr>
            <w:r w:rsidRPr="00E823E1">
              <w:rPr>
                <w:rFonts w:cs="Times New Roman"/>
              </w:rPr>
              <w:t>International environmental cooperation, environmental and natural resource policy in the developing world</w:t>
            </w:r>
          </w:p>
          <w:p w:rsidR="00A74B6B" w:rsidRPr="00E823E1" w:rsidRDefault="00A74B6B" w:rsidP="00A74B6B">
            <w:pPr>
              <w:numPr>
                <w:ilvl w:val="1"/>
                <w:numId w:val="2"/>
              </w:numPr>
              <w:tabs>
                <w:tab w:val="left" w:pos="432"/>
              </w:tabs>
              <w:spacing w:before="100" w:beforeAutospacing="1" w:after="100" w:afterAutospacing="1"/>
              <w:ind w:left="252"/>
              <w:rPr>
                <w:rFonts w:cs="Times New Roman"/>
              </w:rPr>
            </w:pPr>
            <w:r w:rsidRPr="00E823E1">
              <w:rPr>
                <w:rFonts w:cs="Times New Roman"/>
              </w:rPr>
              <w:t>Sustainability and conservation of biodiversity.</w:t>
            </w:r>
          </w:p>
          <w:p w:rsidR="00A74B6B" w:rsidRPr="00E823E1" w:rsidRDefault="00A74B6B" w:rsidP="00FF4987">
            <w:pPr>
              <w:spacing w:before="100" w:beforeAutospacing="1" w:after="100" w:afterAutospacing="1"/>
              <w:ind w:left="720"/>
              <w:jc w:val="center"/>
              <w:rPr>
                <w:rFonts w:cs="Times New Roman"/>
                <w:b/>
                <w:sz w:val="28"/>
                <w:szCs w:val="28"/>
              </w:rPr>
            </w:pPr>
            <w:r w:rsidRPr="00E823E1">
              <w:rPr>
                <w:rFonts w:cs="Times New Roman"/>
                <w:b/>
                <w:sz w:val="28"/>
                <w:szCs w:val="28"/>
              </w:rPr>
              <w:t>Chapter 6</w:t>
            </w:r>
          </w:p>
          <w:p w:rsidR="00A74B6B" w:rsidRPr="00E823E1" w:rsidRDefault="00A74B6B" w:rsidP="00A74B6B">
            <w:pPr>
              <w:numPr>
                <w:ilvl w:val="0"/>
                <w:numId w:val="2"/>
              </w:numPr>
              <w:spacing w:before="100" w:beforeAutospacing="1" w:after="100" w:afterAutospacing="1"/>
              <w:rPr>
                <w:rFonts w:cs="Times New Roman"/>
                <w:b/>
                <w:sz w:val="28"/>
                <w:szCs w:val="28"/>
              </w:rPr>
            </w:pPr>
            <w:r w:rsidRPr="00E823E1">
              <w:rPr>
                <w:rFonts w:cs="Times New Roman"/>
                <w:b/>
                <w:sz w:val="28"/>
                <w:szCs w:val="28"/>
              </w:rPr>
              <w:t xml:space="preserve">Cost-benefit analysis and the valuation of ecosystem services </w:t>
            </w:r>
          </w:p>
          <w:p w:rsidR="00A74B6B" w:rsidRPr="00E823E1" w:rsidRDefault="00A74B6B" w:rsidP="00A74B6B">
            <w:pPr>
              <w:numPr>
                <w:ilvl w:val="1"/>
                <w:numId w:val="2"/>
              </w:numPr>
              <w:tabs>
                <w:tab w:val="left" w:pos="882"/>
              </w:tabs>
              <w:spacing w:before="100" w:beforeAutospacing="1" w:after="100" w:afterAutospacing="1"/>
              <w:rPr>
                <w:rFonts w:cs="Times New Roman"/>
              </w:rPr>
            </w:pPr>
            <w:r w:rsidRPr="00E823E1">
              <w:rPr>
                <w:rFonts w:cs="Times New Roman"/>
              </w:rPr>
              <w:t>Different methods of valuing ecosystem services, including, hedonic pricing and contingent valuation.</w:t>
            </w:r>
          </w:p>
          <w:p w:rsidR="00A74B6B" w:rsidRPr="00E823E1" w:rsidRDefault="00A74B6B" w:rsidP="00A74B6B">
            <w:pPr>
              <w:numPr>
                <w:ilvl w:val="1"/>
                <w:numId w:val="2"/>
              </w:numPr>
              <w:tabs>
                <w:tab w:val="left" w:pos="882"/>
              </w:tabs>
              <w:spacing w:before="100" w:beforeAutospacing="1" w:after="100" w:afterAutospacing="1"/>
              <w:rPr>
                <w:rFonts w:cs="Times New Roman"/>
              </w:rPr>
            </w:pPr>
            <w:r w:rsidRPr="00E823E1">
              <w:rPr>
                <w:rFonts w:cs="Times New Roman"/>
              </w:rPr>
              <w:t>Practical examples of valuing ecosystem services.</w:t>
            </w:r>
          </w:p>
          <w:p w:rsidR="00A74B6B" w:rsidRPr="00E823E1" w:rsidRDefault="00A74B6B" w:rsidP="00A74B6B">
            <w:pPr>
              <w:numPr>
                <w:ilvl w:val="1"/>
                <w:numId w:val="2"/>
              </w:numPr>
              <w:tabs>
                <w:tab w:val="left" w:pos="882"/>
              </w:tabs>
              <w:spacing w:before="100" w:beforeAutospacing="1" w:after="100" w:afterAutospacing="1"/>
              <w:rPr>
                <w:rFonts w:cs="Times New Roman"/>
              </w:rPr>
            </w:pPr>
            <w:r w:rsidRPr="00E823E1">
              <w:rPr>
                <w:rFonts w:cs="Times New Roman"/>
              </w:rPr>
              <w:t>Theoretical foundations and practical procedures of benefit-cost analysis</w:t>
            </w:r>
          </w:p>
          <w:p w:rsidR="00A74B6B" w:rsidRPr="00E823E1" w:rsidRDefault="00A74B6B" w:rsidP="00A74B6B">
            <w:pPr>
              <w:numPr>
                <w:ilvl w:val="1"/>
                <w:numId w:val="2"/>
              </w:numPr>
              <w:tabs>
                <w:tab w:val="left" w:pos="882"/>
              </w:tabs>
              <w:spacing w:before="100" w:beforeAutospacing="1" w:after="100" w:afterAutospacing="1"/>
              <w:rPr>
                <w:rFonts w:cs="Times New Roman"/>
              </w:rPr>
            </w:pPr>
            <w:r w:rsidRPr="00E823E1">
              <w:rPr>
                <w:rFonts w:cs="Times New Roman"/>
              </w:rPr>
              <w:t>The analysis and control of environmental risks</w:t>
            </w:r>
          </w:p>
          <w:p w:rsidR="00A74B6B" w:rsidRDefault="00A74B6B" w:rsidP="00A74B6B">
            <w:pPr>
              <w:numPr>
                <w:ilvl w:val="1"/>
                <w:numId w:val="2"/>
              </w:numPr>
              <w:tabs>
                <w:tab w:val="left" w:pos="882"/>
              </w:tabs>
              <w:spacing w:before="100" w:beforeAutospacing="1" w:after="100" w:afterAutospacing="1"/>
              <w:rPr>
                <w:rFonts w:cs="Times New Roman"/>
              </w:rPr>
            </w:pPr>
            <w:r w:rsidRPr="00E823E1">
              <w:rPr>
                <w:rFonts w:cs="Times New Roman"/>
              </w:rPr>
              <w:t>Cost benefit analysis of specific environmental policies</w:t>
            </w:r>
          </w:p>
          <w:p w:rsidR="00A74B6B" w:rsidRPr="00E823E1" w:rsidRDefault="00A74B6B" w:rsidP="00A74B6B">
            <w:pPr>
              <w:numPr>
                <w:ilvl w:val="1"/>
                <w:numId w:val="2"/>
              </w:numPr>
              <w:tabs>
                <w:tab w:val="left" w:pos="882"/>
              </w:tabs>
              <w:spacing w:before="100" w:beforeAutospacing="1" w:after="100" w:afterAutospacing="1"/>
              <w:rPr>
                <w:rFonts w:cs="Times New Roman"/>
              </w:rPr>
            </w:pPr>
            <w:r w:rsidRPr="00E823E1">
              <w:rPr>
                <w:rFonts w:cs="Times New Roman"/>
              </w:rPr>
              <w:t>Critics of cost benefit analysis</w:t>
            </w:r>
          </w:p>
        </w:tc>
      </w:tr>
      <w:tr w:rsidR="00A74B6B" w:rsidRPr="009C0D3F" w:rsidTr="00FF4987">
        <w:tc>
          <w:tcPr>
            <w:tcW w:w="2268" w:type="dxa"/>
          </w:tcPr>
          <w:p w:rsidR="00A74B6B" w:rsidRPr="009C0D3F" w:rsidRDefault="00A74B6B" w:rsidP="00FF4987">
            <w:pPr>
              <w:ind w:right="346"/>
              <w:jc w:val="both"/>
              <w:rPr>
                <w:rFonts w:cs="Times New Roman"/>
                <w:b/>
                <w:lang w:val="en-GB"/>
              </w:rPr>
            </w:pPr>
            <w:r w:rsidRPr="009C0D3F">
              <w:rPr>
                <w:rFonts w:cs="Times New Roman"/>
                <w:b/>
                <w:lang w:val="en-GB"/>
              </w:rPr>
              <w:t>Mode of Delivery</w:t>
            </w:r>
          </w:p>
        </w:tc>
        <w:tc>
          <w:tcPr>
            <w:tcW w:w="8010" w:type="dxa"/>
          </w:tcPr>
          <w:p w:rsidR="00A74B6B" w:rsidRPr="001D4AF6" w:rsidRDefault="00A74B6B" w:rsidP="00FF4987">
            <w:pPr>
              <w:spacing w:line="360" w:lineRule="auto"/>
              <w:ind w:left="90" w:right="346" w:hanging="90"/>
              <w:jc w:val="both"/>
              <w:rPr>
                <w:rFonts w:cs="Times New Roman"/>
                <w:highlight w:val="yellow"/>
              </w:rPr>
            </w:pPr>
            <w:r w:rsidRPr="001415BF">
              <w:rPr>
                <w:rFonts w:cs="Times New Roman"/>
              </w:rPr>
              <w:t>We will be taking an active learning approach in this class. Class participation is vital to learning and demonstrating proficiency in strategic management.  Students are, therefore, expected to read, think about the issues and prepare to contribute to class discussion by sharing your experiences. The course instructor’s primary role is to facilitate the learning process. In each session, the instructor will devote some time in lecturing, but we will also spend a great deal of time in class discussion. Moreover, case studies and exercises will also be employed.</w:t>
            </w:r>
          </w:p>
        </w:tc>
      </w:tr>
      <w:tr w:rsidR="00A74B6B" w:rsidRPr="009C0D3F" w:rsidTr="00FF4987">
        <w:tc>
          <w:tcPr>
            <w:tcW w:w="2268" w:type="dxa"/>
          </w:tcPr>
          <w:p w:rsidR="00A74B6B" w:rsidRPr="001415BF" w:rsidRDefault="00A74B6B" w:rsidP="00FF4987">
            <w:pPr>
              <w:ind w:right="346"/>
              <w:jc w:val="both"/>
              <w:rPr>
                <w:rFonts w:cs="Times New Roman"/>
                <w:b/>
                <w:lang w:val="en-GB"/>
              </w:rPr>
            </w:pPr>
            <w:r w:rsidRPr="001415BF">
              <w:rPr>
                <w:rFonts w:cs="Times New Roman"/>
                <w:b/>
                <w:lang w:val="en-GB"/>
              </w:rPr>
              <w:t>Method of Assessment</w:t>
            </w:r>
          </w:p>
        </w:tc>
        <w:tc>
          <w:tcPr>
            <w:tcW w:w="8010" w:type="dxa"/>
          </w:tcPr>
          <w:p w:rsidR="00A74B6B" w:rsidRPr="00942BEF" w:rsidRDefault="00A74B6B" w:rsidP="00FF4987">
            <w:pPr>
              <w:spacing w:line="360" w:lineRule="auto"/>
              <w:ind w:right="346" w:hanging="360"/>
              <w:jc w:val="both"/>
              <w:rPr>
                <w:rFonts w:cs="Times New Roman"/>
                <w:bCs/>
                <w:highlight w:val="yellow"/>
              </w:rPr>
            </w:pPr>
            <w:r w:rsidRPr="001415BF">
              <w:rPr>
                <w:rFonts w:cs="Times New Roman"/>
                <w:b/>
                <w:bCs/>
                <w:color w:val="000000"/>
              </w:rPr>
              <w:tab/>
            </w:r>
            <w:r w:rsidRPr="00942BEF">
              <w:rPr>
                <w:rFonts w:cs="Times New Roman"/>
                <w:highlight w:val="yellow"/>
              </w:rPr>
              <w:t>Individual Term Papers …………………………………</w:t>
            </w:r>
            <w:r w:rsidRPr="00942BEF">
              <w:rPr>
                <w:rFonts w:cs="Times New Roman"/>
                <w:bCs/>
                <w:highlight w:val="yellow"/>
              </w:rPr>
              <w:t>30%</w:t>
            </w:r>
          </w:p>
          <w:p w:rsidR="00A74B6B" w:rsidRPr="00942BEF" w:rsidRDefault="00A74B6B" w:rsidP="00FF4987">
            <w:pPr>
              <w:spacing w:line="360" w:lineRule="auto"/>
              <w:ind w:right="346" w:hanging="360"/>
              <w:jc w:val="both"/>
              <w:rPr>
                <w:rFonts w:cs="Times New Roman"/>
                <w:highlight w:val="yellow"/>
              </w:rPr>
            </w:pPr>
            <w:r w:rsidRPr="00942BEF">
              <w:rPr>
                <w:rFonts w:cs="Times New Roman"/>
                <w:highlight w:val="yellow"/>
              </w:rPr>
              <w:t xml:space="preserve">      Group Term Paper</w:t>
            </w:r>
            <w:r w:rsidRPr="00942BEF">
              <w:rPr>
                <w:rFonts w:cs="Times New Roman"/>
                <w:bCs/>
                <w:highlight w:val="yellow"/>
              </w:rPr>
              <w:t xml:space="preserve">………………………………………20%  </w:t>
            </w:r>
          </w:p>
          <w:p w:rsidR="00A74B6B" w:rsidRPr="00942BEF" w:rsidRDefault="00A74B6B" w:rsidP="00FF4987">
            <w:pPr>
              <w:spacing w:line="360" w:lineRule="auto"/>
              <w:ind w:right="346" w:hanging="360"/>
              <w:jc w:val="both"/>
              <w:rPr>
                <w:rFonts w:cs="Times New Roman"/>
                <w:bCs/>
                <w:highlight w:val="yellow"/>
              </w:rPr>
            </w:pPr>
            <w:r w:rsidRPr="00942BEF">
              <w:rPr>
                <w:rFonts w:cs="Times New Roman"/>
                <w:bCs/>
                <w:highlight w:val="yellow"/>
              </w:rPr>
              <w:t xml:space="preserve">      Classroom reflection exercises…………………………..10%</w:t>
            </w:r>
          </w:p>
          <w:p w:rsidR="00A74B6B" w:rsidRPr="001415BF" w:rsidRDefault="00A74B6B" w:rsidP="00FF4987">
            <w:pPr>
              <w:spacing w:line="360" w:lineRule="auto"/>
              <w:ind w:right="346" w:hanging="360"/>
              <w:jc w:val="both"/>
              <w:rPr>
                <w:rFonts w:cs="Times New Roman"/>
                <w:b/>
                <w:bCs/>
                <w:color w:val="000000"/>
              </w:rPr>
            </w:pPr>
            <w:r w:rsidRPr="00942BEF">
              <w:rPr>
                <w:rFonts w:cs="Times New Roman"/>
                <w:bCs/>
                <w:highlight w:val="yellow"/>
              </w:rPr>
              <w:t xml:space="preserve">      Final Examination ……………………………………...40%</w:t>
            </w:r>
          </w:p>
        </w:tc>
      </w:tr>
      <w:tr w:rsidR="00A74B6B" w:rsidRPr="009C0D3F" w:rsidTr="00FF4987">
        <w:tc>
          <w:tcPr>
            <w:tcW w:w="2268" w:type="dxa"/>
          </w:tcPr>
          <w:p w:rsidR="00A74B6B" w:rsidRPr="009C0D3F" w:rsidRDefault="00A74B6B" w:rsidP="00FF4987">
            <w:pPr>
              <w:ind w:right="346"/>
              <w:jc w:val="both"/>
              <w:rPr>
                <w:rFonts w:cs="Times New Roman"/>
                <w:lang w:val="en-GB"/>
              </w:rPr>
            </w:pPr>
            <w:r w:rsidRPr="009C0D3F">
              <w:rPr>
                <w:rFonts w:cs="Times New Roman"/>
                <w:b/>
                <w:lang w:val="en-GB"/>
              </w:rPr>
              <w:t>Reading List</w:t>
            </w:r>
          </w:p>
        </w:tc>
        <w:tc>
          <w:tcPr>
            <w:tcW w:w="8010" w:type="dxa"/>
          </w:tcPr>
          <w:p w:rsidR="00A74B6B" w:rsidRPr="001415BF" w:rsidRDefault="00A74B6B" w:rsidP="00FF4987">
            <w:pPr>
              <w:ind w:right="346"/>
              <w:jc w:val="both"/>
              <w:rPr>
                <w:rFonts w:cs="Times New Roman"/>
                <w:i/>
                <w:sz w:val="20"/>
                <w:szCs w:val="20"/>
                <w:lang w:val="en-GB"/>
              </w:rPr>
            </w:pPr>
            <w:smartTag w:uri="urn:schemas-microsoft-com:office:smarttags" w:element="place">
              <w:smartTag w:uri="urn:schemas-microsoft-com:office:smarttags" w:element="City">
                <w:r w:rsidRPr="001415BF">
                  <w:rPr>
                    <w:rFonts w:cs="Times New Roman"/>
                    <w:i/>
                    <w:sz w:val="20"/>
                    <w:szCs w:val="20"/>
                    <w:lang w:val="en-GB"/>
                  </w:rPr>
                  <w:t>Readings</w:t>
                </w:r>
              </w:smartTag>
            </w:smartTag>
            <w:r w:rsidRPr="001415BF">
              <w:rPr>
                <w:rFonts w:cs="Times New Roman"/>
                <w:i/>
                <w:sz w:val="20"/>
                <w:szCs w:val="20"/>
                <w:lang w:val="en-GB"/>
              </w:rPr>
              <w:t>:</w:t>
            </w:r>
          </w:p>
          <w:p w:rsidR="00A74B6B" w:rsidRDefault="00A74B6B" w:rsidP="00FF4987">
            <w:pPr>
              <w:pStyle w:val="NormalWeb"/>
              <w:spacing w:after="240" w:afterAutospacing="0"/>
              <w:rPr>
                <w:rFonts w:ascii="Arial+FPEF" w:hAnsi="Arial+FPEF" w:cs="Angsana New"/>
                <w:color w:val="000000"/>
                <w:sz w:val="20"/>
                <w:szCs w:val="20"/>
              </w:rPr>
            </w:pPr>
            <w:proofErr w:type="spellStart"/>
            <w:r w:rsidRPr="00E3488C">
              <w:rPr>
                <w:rFonts w:ascii="Arial+FPEF" w:hAnsi="Arial+FPEF" w:cs="Angsana New"/>
                <w:color w:val="000000"/>
                <w:sz w:val="20"/>
                <w:szCs w:val="20"/>
              </w:rPr>
              <w:t>Holling</w:t>
            </w:r>
            <w:proofErr w:type="spellEnd"/>
            <w:r w:rsidRPr="00E3488C">
              <w:rPr>
                <w:rFonts w:ascii="Arial+FPEF" w:hAnsi="Arial+FPEF" w:cs="Angsana New"/>
                <w:color w:val="000000"/>
                <w:sz w:val="20"/>
                <w:szCs w:val="20"/>
              </w:rPr>
              <w:t xml:space="preserve">, C.S., (1987), </w:t>
            </w:r>
            <w:r w:rsidRPr="00E3488C">
              <w:rPr>
                <w:rFonts w:ascii="Arial Italic+FPEF" w:hAnsi="Arial Italic+FPEF" w:cs="Angsana New"/>
                <w:i/>
                <w:iCs/>
                <w:color w:val="000000"/>
                <w:sz w:val="20"/>
              </w:rPr>
              <w:t>Adaptive Environmental Assessment &amp; Management</w:t>
            </w:r>
            <w:r w:rsidRPr="00E3488C">
              <w:rPr>
                <w:rFonts w:ascii="Arial+FPEF" w:hAnsi="Arial+FPEF" w:cs="Angsana New"/>
                <w:color w:val="000000"/>
                <w:sz w:val="20"/>
                <w:szCs w:val="20"/>
              </w:rPr>
              <w:t>, John Willey &amp;</w:t>
            </w:r>
            <w:r w:rsidRPr="00E3488C">
              <w:rPr>
                <w:rFonts w:ascii="Arial+FPEF" w:hAnsi="Arial+FPEF" w:cs="Angsana New"/>
                <w:color w:val="000000"/>
                <w:sz w:val="20"/>
                <w:szCs w:val="20"/>
              </w:rPr>
              <w:br/>
              <w:t>Sons, New York.</w:t>
            </w:r>
          </w:p>
          <w:p w:rsidR="00A74B6B" w:rsidRDefault="00A74B6B" w:rsidP="00FF4987">
            <w:pPr>
              <w:pStyle w:val="NormalWeb"/>
              <w:spacing w:before="0" w:beforeAutospacing="0" w:after="240" w:afterAutospacing="0"/>
              <w:rPr>
                <w:rFonts w:ascii="Arial+FPEF" w:hAnsi="Arial+FPEF" w:cs="Angsana New"/>
                <w:color w:val="000000"/>
                <w:sz w:val="20"/>
                <w:szCs w:val="20"/>
              </w:rPr>
            </w:pPr>
            <w:proofErr w:type="spellStart"/>
            <w:r w:rsidRPr="00E3488C">
              <w:rPr>
                <w:rFonts w:ascii="Arial+FPEF" w:hAnsi="Arial+FPEF" w:cs="Angsana New"/>
                <w:color w:val="000000"/>
                <w:sz w:val="20"/>
                <w:szCs w:val="20"/>
              </w:rPr>
              <w:t>Munashinge</w:t>
            </w:r>
            <w:proofErr w:type="spellEnd"/>
            <w:r w:rsidRPr="00E3488C">
              <w:rPr>
                <w:rFonts w:ascii="Arial+FPEF" w:hAnsi="Arial+FPEF" w:cs="Angsana New"/>
                <w:color w:val="000000"/>
                <w:sz w:val="20"/>
                <w:szCs w:val="20"/>
              </w:rPr>
              <w:t xml:space="preserve">, M. and Schwab, A., 1993. </w:t>
            </w:r>
            <w:r w:rsidRPr="00E3488C">
              <w:rPr>
                <w:rFonts w:ascii="Arial Italic+FPEF" w:hAnsi="Arial Italic+FPEF" w:cs="Angsana New"/>
                <w:i/>
                <w:iCs/>
                <w:color w:val="000000"/>
                <w:sz w:val="20"/>
              </w:rPr>
              <w:t>Environmental Economics and Natural Resource</w:t>
            </w:r>
            <w:r w:rsidRPr="00E3488C">
              <w:rPr>
                <w:rFonts w:ascii="Arial Italic+FPEF" w:hAnsi="Arial Italic+FPEF" w:cs="Angsana New"/>
                <w:i/>
                <w:iCs/>
                <w:color w:val="000000"/>
                <w:sz w:val="20"/>
                <w:szCs w:val="20"/>
              </w:rPr>
              <w:br/>
            </w:r>
            <w:r w:rsidRPr="00E3488C">
              <w:rPr>
                <w:rFonts w:ascii="Arial Italic+FPEF" w:hAnsi="Arial Italic+FPEF" w:cs="Angsana New"/>
                <w:i/>
                <w:iCs/>
                <w:color w:val="000000"/>
                <w:sz w:val="20"/>
              </w:rPr>
              <w:t xml:space="preserve">Management in Developing Countries, </w:t>
            </w:r>
            <w:r w:rsidRPr="00E3488C">
              <w:rPr>
                <w:rFonts w:ascii="Arial+FPEF" w:hAnsi="Arial+FPEF" w:cs="Angsana New"/>
                <w:color w:val="000000"/>
                <w:sz w:val="20"/>
                <w:szCs w:val="20"/>
              </w:rPr>
              <w:t>World Bank, New York.</w:t>
            </w:r>
          </w:p>
          <w:p w:rsidR="00A74B6B" w:rsidRPr="001D4AF6" w:rsidRDefault="00A74B6B" w:rsidP="00FF4987">
            <w:pPr>
              <w:tabs>
                <w:tab w:val="left" w:pos="360"/>
              </w:tabs>
              <w:spacing w:line="312" w:lineRule="auto"/>
              <w:ind w:right="346"/>
              <w:jc w:val="both"/>
              <w:rPr>
                <w:highlight w:val="yellow"/>
              </w:rPr>
            </w:pPr>
            <w:proofErr w:type="spellStart"/>
            <w:r w:rsidRPr="00E3488C">
              <w:rPr>
                <w:rFonts w:ascii="Arial+FPEF" w:hAnsi="Arial+FPEF"/>
                <w:color w:val="000000"/>
                <w:sz w:val="20"/>
                <w:szCs w:val="20"/>
              </w:rPr>
              <w:t>Munasinge</w:t>
            </w:r>
            <w:proofErr w:type="spellEnd"/>
            <w:r w:rsidRPr="00E3488C">
              <w:rPr>
                <w:rFonts w:ascii="Arial+FPEF" w:hAnsi="Arial+FPEF"/>
                <w:color w:val="000000"/>
                <w:sz w:val="20"/>
                <w:szCs w:val="20"/>
              </w:rPr>
              <w:t xml:space="preserve">, M., </w:t>
            </w:r>
            <w:r w:rsidRPr="00E3488C">
              <w:rPr>
                <w:rFonts w:ascii="Arial Italic+FPEF" w:hAnsi="Arial Italic+FPEF"/>
                <w:i/>
                <w:iCs/>
                <w:color w:val="000000"/>
                <w:sz w:val="20"/>
              </w:rPr>
              <w:t xml:space="preserve">1993, Environmental Economics and Sustainable Development, </w:t>
            </w:r>
            <w:r w:rsidRPr="00E3488C">
              <w:rPr>
                <w:rFonts w:ascii="Arial+FPEF" w:hAnsi="Arial+FPEF"/>
                <w:color w:val="000000"/>
                <w:sz w:val="20"/>
                <w:szCs w:val="20"/>
              </w:rPr>
              <w:t>World Bank</w:t>
            </w:r>
            <w:r w:rsidRPr="00E3488C">
              <w:rPr>
                <w:rFonts w:ascii="Arial+FPEF" w:hAnsi="Arial+FPEF"/>
                <w:color w:val="000000"/>
                <w:sz w:val="20"/>
                <w:szCs w:val="20"/>
              </w:rPr>
              <w:br/>
              <w:t>Environmental Paper 3, World Bank, New York.</w:t>
            </w:r>
          </w:p>
        </w:tc>
      </w:tr>
    </w:tbl>
    <w:p w:rsidR="005E104A" w:rsidRDefault="00942BEF"/>
    <w:sectPr w:rsidR="005E104A" w:rsidSect="000C6B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FPEF">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Italic+FPE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247D1"/>
    <w:multiLevelType w:val="hybridMultilevel"/>
    <w:tmpl w:val="DBB2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5A0FFC"/>
    <w:multiLevelType w:val="multilevel"/>
    <w:tmpl w:val="CBB8F23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applyBreakingRules/>
  </w:compat>
  <w:rsids>
    <w:rsidRoot w:val="00A74B6B"/>
    <w:rsid w:val="0006628E"/>
    <w:rsid w:val="000C6B6D"/>
    <w:rsid w:val="00370F9D"/>
    <w:rsid w:val="00942BEF"/>
    <w:rsid w:val="00A74B6B"/>
    <w:rsid w:val="00B460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B6B"/>
    <w:pPr>
      <w:spacing w:after="0" w:line="240" w:lineRule="auto"/>
    </w:pPr>
    <w:rPr>
      <w:rFonts w:ascii="Times New Roman" w:eastAsia="Times New Roman" w:hAnsi="Times New Roman"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74B6B"/>
    <w:pPr>
      <w:spacing w:before="100" w:beforeAutospacing="1" w:after="100" w:afterAutospacing="1"/>
    </w:pPr>
    <w:rPr>
      <w:rFonts w:cs="Times New Roman"/>
      <w:lang w:bidi="th-TH"/>
    </w:rPr>
  </w:style>
  <w:style w:type="character" w:customStyle="1" w:styleId="fontstyle01">
    <w:name w:val="fontstyle01"/>
    <w:rsid w:val="00A74B6B"/>
    <w:rPr>
      <w:rFonts w:ascii="Arial+FPEF" w:hAnsi="Arial+FPEF" w:hint="default"/>
      <w:b w:val="0"/>
      <w:bCs w:val="0"/>
      <w:i w:val="0"/>
      <w:iCs w:val="0"/>
      <w:color w:val="000000"/>
      <w:sz w:val="22"/>
      <w:szCs w:val="22"/>
    </w:rPr>
  </w:style>
  <w:style w:type="paragraph" w:styleId="DocumentMap">
    <w:name w:val="Document Map"/>
    <w:basedOn w:val="Normal"/>
    <w:link w:val="DocumentMapChar"/>
    <w:uiPriority w:val="99"/>
    <w:semiHidden/>
    <w:unhideWhenUsed/>
    <w:rsid w:val="00942BEF"/>
    <w:rPr>
      <w:rFonts w:ascii="Tahoma" w:hAnsi="Tahoma" w:cs="Tahoma"/>
      <w:sz w:val="16"/>
      <w:szCs w:val="16"/>
    </w:rPr>
  </w:style>
  <w:style w:type="character" w:customStyle="1" w:styleId="DocumentMapChar">
    <w:name w:val="Document Map Char"/>
    <w:basedOn w:val="DefaultParagraphFont"/>
    <w:link w:val="DocumentMap"/>
    <w:uiPriority w:val="99"/>
    <w:semiHidden/>
    <w:rsid w:val="00942BE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5303</Characters>
  <Application>Microsoft Office Word</Application>
  <DocSecurity>0</DocSecurity>
  <Lines>44</Lines>
  <Paragraphs>12</Paragraphs>
  <ScaleCrop>false</ScaleCrop>
  <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dmu</dc:creator>
  <cp:lastModifiedBy>dmu</cp:lastModifiedBy>
  <cp:revision>2</cp:revision>
  <dcterms:created xsi:type="dcterms:W3CDTF">2020-05-04T19:16:00Z</dcterms:created>
  <dcterms:modified xsi:type="dcterms:W3CDTF">2020-05-21T05:16:00Z</dcterms:modified>
</cp:coreProperties>
</file>